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Социологија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за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4.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разред гимназије и 3. разред средњих стручних школа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>25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321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тема:</w:t>
            </w:r>
          </w:p>
        </w:tc>
        <w:tc>
          <w:tcPr>
            <w:tcW w:type="dxa" w:w="6426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Друштвена структура и друштвене промене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јединица: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  <w:lang w:eastAsia="en-US" w:val="en-US"/>
              </w:rPr>
              <w:t>Облици друштвених неједнакости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Тип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Обрада</w:t>
            </w:r>
          </w:p>
        </w:tc>
      </w:tr>
      <w:tr>
        <w:trPr>
          <w:trHeight w:hRule="atLeast" w:val="251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 xml:space="preserve">Образовно-васпитни циљеви часа: 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Стицање и проширивање знања о различитим облицима друштвених неједнакости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Анализирање и тумачење података који указују на облике и испољавање неједнакости у друштву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Препознавање облика неједнакости у конкретним животним ситуацијама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Развој емпатије и толеранције према друштвеним неједнакостима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Исход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Ученик може да: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наведе и објасни облике друштвених неједнакости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анализира и тумачи податке који  указују на облике и испољавање неједнакости у друштву</w:t>
            </w:r>
          </w:p>
          <w:p>
            <w:pPr>
              <w:pStyle w:val="style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препознаје облике неједнакости у   конкретним животним ситуацијама (исказује препознавање кроз примере прича које осликавају честе ситуације) 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исказује емпатију и толеранцију према неједнакостима кроз дискусију на часу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Облик рада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Наставне методе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Монолошко-дијалошка, текстуална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демонстративна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Наставна средства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215" w:val="left"/>
              </w:tabs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Уџбеник, хамер папир, припремљене приче, табла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 w:val="en-US"/>
              </w:rPr>
              <w:t>Корелација са другим предметима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eastAsia="en-US" w:val="en-US"/>
              </w:rPr>
              <w:t>Историја, психологија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5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Поставља питања о кључним појмовима из претходне наставне јединице која је у вези са јединицом која је предмет часа; даје инструкције ученицима да доведу у везу Облике друштвених неједнакости са претходно обрађеним појмовима друштвених неједнакости. Индивидуално наводе дефиницију појма друштвене неједнакости и кључне одреднице формирања неједнакости.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Наставник подвлачи још једном да Друштвене неједнакости представљају неравномерно распоређивање новца, утицаја и угледа у односу на нечије биолошке или социјалне особине. Две главне одреднице друштвених неједнакости су приписано друштвено значење и неједнака расподела ресурса.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>35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 xml:space="preserve">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2:</w:t>
              <w:tab/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Упознаје ученике са током часа тј да ће најпре бити приказане неједнакости на макро нивоу, на нивоу популације које осликавају статистички показатељи, а затим и на микро нивоу, кроз три приче које представљају реалне животне ситуације у Србији. Излаже и објашњава облике друштвених неједнакости; подстиче и усмерава ученике на анализу различитих облика друштвених неједнакости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  <w:t>Макро ниво друштвених неједнакости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  <w:t>Економске и глобалне неједнакости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- Економске неједнакости се огледају у неједнакој прерасподели и доступности економских ресурса (капитал, природна богатства, некретнине). Развој технологије и науке допринео је значајном побољшању општих услова живота и благостања али истовремено према свим релевантним показатељима еконоске неједнакости су веће него икада у историји. 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Подаци Светске банке указују да је однос висине прихода најбогатијих и најсиромашнијих у свету 154:1! Погледати табелу 16 (110стр)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- Према известају </w:t>
            </w:r>
            <w:r>
              <w:rPr>
                <w:rFonts w:ascii="Times New Roman" w:cs="Times New Roman" w:hAnsi="Times New Roman"/>
                <w:i/>
                <w:sz w:val="24"/>
                <w:szCs w:val="24"/>
                <w:lang w:val="en-US"/>
              </w:rPr>
              <w:t>УН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из 1999год светска статистистика показује да 1,3 милијарде људи покушава да опстане са зарадом од 1$ на дан, а 3 милијарде покушава да преживи са 2$ на дан! Наспрам ових података нето вредност 10 најбогатијих милијардера је већа него укупан национални доходак 48 најсиромашнијих земаља! 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- Према известају </w:t>
            </w:r>
            <w:r>
              <w:rPr>
                <w:rFonts w:ascii="Times New Roman" w:cs="Times New Roman" w:hAnsi="Times New Roman"/>
                <w:i/>
                <w:sz w:val="24"/>
                <w:szCs w:val="24"/>
                <w:lang w:val="en-US"/>
              </w:rPr>
              <w:t>Стања потрошње данас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12%  светског становништва које живи у Северној Америци и Западној Европи отпада 60% приватне потрошње, док на 30% становништва у јужној Азији и подсахарској Африци отпада свега 3,2%!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Међутим треба истађи да су економске неједнакости велике и у развијеним земљама, а највише у САД. Истраживања из 2007 год показују да је имовина 1% најбогатијих 16,8 билиона $, чак 2 билиона већа од сумарног богатства доњих 90% становника те је тако од 2007 пораст прихода 50% доњих америчких домаћинстава порастао за 6%, а приход доњих 1% чак 229%!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Пита ученике шта говоре и на шта нам указују овакви подаци?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(пр. Богатији су све богатији, а сиромашни све сиромашнији, разлике су апсолутно несразмерне итд..)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Увертира за следећу тему јесу и подаци УН који говоре да би мање од 4% прихода 225 најбогатијих људи на свету обезбедило доступност образовања, исхране, пијеће воде и здравствене неге свим становницима света (за шта је потребно око 40милијарди $ годишње)!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  <w:t>Неједнакости у запошљавању и образовању</w:t>
              <w:tab/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Означава видљиве (законска ограничења за равноправно школовање или запошљавање) или невидљиве (индиректно остваривање ових права, пр.сеоска средина, настава на нематерњем језику, шиканирање према полу или сексуалној орјентацији и сл.) препреке за поједине чланове друштва да се образују или нађу запослење због њихове различитости у односу на друге чланове друштва.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Светски извештај о развоју за 2007 год. Светске банке указује да млади људи чине скоро половину светске незапослености и да би нпр. Регион Блиског истока и северне Африке до 2020.морати да створи 100милиона радних места да би стабилизовао ситуацију у области запошљавања.Овоме треба додати да 130 милиона младих у свету, између 15-24 год не зна ни да чита ни да пише!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Погледати табелу 17 (111стр.), дати ученицима инструкције да је протумаче.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Табела показује да је између 1960 и 200год у свету порастао проценат особа са средњим и високим образовањем, а без образовања опао.Но, ова тенденција је неуједначена, што додатно увећава глобалне неједнакости, пр. 2000год у високо развијеним земљама проценат високо образованих је порастао на 13%, а у земљама у развоју има свега 3%!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Србија – Према подацима РЗСа из 2002 у Србији је било 5,7%  неписмених жена и 1,1 проценат мушкараца, а у 2010 1,0% жена и 0,6% мушкараца, а истовремено је проценат високообразованих жена 10,3%, а мушкараца 8,3%.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Интересантан је и податак да је нпр. У 2009. год. дипломирало 17198 мушкараца и 26347 жена, а подаци такође показују да су жене у значајној мери студије похађале на терет буџета, а мушкарци самофинансирајући, а такође и да жене чешће уписују државне а мушкарци приватне факултете.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Стопа незапослености у 2011 износи 22,9%(650445), стопа незапослености мушкараца у уделу радно способних је 19,2, а жена 21%. Значи да међу незапосленима предњаче жене а такође, подаци показују да је и просечна зарада мушкараца око 2000дин већа у односу на жене.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Пита ученике да прокоментаришу, и уједно је ово увертира за следећу врсту неједнакости.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  <w:t>Родне неједнакости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Родне неједнакости не почивају на биолошким разликама у способностима већ се културолошки производе!!! У многим друштвима уврежено је становиште да су жене слабије и да треба да буду мајке, домаћице и супруге, те да не могу да обављају јавне и одговорне послове као мушкарци те имају и мање друштвене награде: ниже плате, мањи углед и положај и сл..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Указати ученицима да погледају табеле које им је наставник поделио, те да анализирамо податке који указују на родне неједнакости.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 Савремено друштво карактерише смањивање родних разлика, али су оне свакако још увек присутне, пр. образовање наспрам запослености.</w:t>
            </w:r>
          </w:p>
          <w:p>
            <w:pPr>
              <w:pStyle w:val="style0"/>
              <w:tabs>
                <w:tab w:leader="none" w:pos="1089" w:val="left"/>
              </w:tabs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Ученици слушају и бележе према сопственим потребама; постављају питања ако имају недоумице; анализирају облике неједнакости кроз табеле и  предочене податке, дискутују са наставником.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3:</w:t>
            </w:r>
          </w:p>
          <w:p>
            <w:pPr>
              <w:pStyle w:val="style0"/>
              <w:tabs>
                <w:tab w:leader="none" w:pos="1453" w:val="lef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  <w:t>Микро ниво друштвених неједнакости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ab/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Чита ученицима три приче које је припремио (а налазе се у прилогу), којима се осликавају неједнакости у друштву. Ученици препознају и истичу неједнакости које препознају у причи и дискутују о њима.</w:t>
            </w:r>
          </w:p>
          <w:p>
            <w:pPr>
              <w:pStyle w:val="style0"/>
              <w:tabs>
                <w:tab w:leader="none" w:pos="1453" w:val="lef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5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Активност 4: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Заокружује тему заједно са ученицима сумирајући кључне појмове: 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Економске неједнакости се огледају у неједнакој прерасподели и доступности економских ресурса (капитал, природна богатства, некретнине). Доминантни тренд у свету је да су богати све богатији, а сиромашни све сиромашнији.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Неједнакости у запошљавању и образовању означава видљиве или невидљиве препреке за поједине чланове друштва да се образују или нађу запослење због њихове различитости у односу на друге чланове друштва.Иако се степен образовања на глобалном нивоу увећава, велика је несразмера између развијених и неразвијених земаља, а такође је упркос образованијој радној снази незапосленост све већа.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Родне неједнакости не почивају на биолошким разликама у способностима већ се културолошки производе.Још увек донинирају традицијонални културолошки образци у тумачењу улоге жена иако су оне изразито укључене и у образовни систем и на тржиште рада.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-Задаје домаћ задатак: да утврде и критички размисле о друштвеним неједнакостима и размисле о начинима и стратегијама превазилажења.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  <w:lang w:eastAsia="en-US" w:val="en-US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en-US" w:val="en-US"/>
              </w:rPr>
              <w:t>Општа запажања:</w:t>
            </w:r>
          </w:p>
        </w:tc>
      </w:tr>
    </w:tbl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8805" w:val="left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Прилог 1:</w:t>
      </w:r>
    </w:p>
    <w:p>
      <w:pPr>
        <w:pStyle w:val="style0"/>
        <w:tabs>
          <w:tab w:leader="none" w:pos="8805" w:val="left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style0"/>
        <w:spacing w:line="360" w:lineRule="auto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Подела послова везаних за негу, подизање и образовање деце:</w:t>
      </w:r>
    </w:p>
    <w:tbl>
      <w:tblPr>
        <w:jc w:val="left"/>
        <w:tblInd w:type="dxa" w:w="9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3300"/>
        <w:gridCol w:w="1135"/>
        <w:gridCol w:w="959"/>
        <w:gridCol w:w="960"/>
      </w:tblGrid>
      <w:tr>
        <w:trPr>
          <w:trHeight w:hRule="atLeast" w:val="255"/>
          <w:cantSplit w:val="false"/>
        </w:trPr>
        <w:tc>
          <w:tcPr>
            <w:tcW w:type="dxa" w:w="3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poslovi ( % )</w:t>
            </w:r>
          </w:p>
        </w:tc>
        <w:tc>
          <w:tcPr>
            <w:tcW w:type="dxa" w:w="1135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ispitanica</w:t>
            </w:r>
          </w:p>
        </w:tc>
        <w:tc>
          <w:tcPr>
            <w:tcW w:type="dxa" w:w="959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partner</w:t>
            </w:r>
          </w:p>
        </w:tc>
        <w:tc>
          <w:tcPr>
            <w:tcW w:type="dxa" w:w="960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zajeno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300"/>
            <w:tcBorders>
              <w:top w:val="nil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брига о дечјим оброцима</w:t>
            </w:r>
          </w:p>
        </w:tc>
        <w:tc>
          <w:tcPr>
            <w:tcW w:type="dxa" w:w="1135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76</w:t>
            </w:r>
          </w:p>
        </w:tc>
        <w:tc>
          <w:tcPr>
            <w:tcW w:type="dxa" w:w="959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0.1</w:t>
            </w:r>
          </w:p>
        </w:tc>
        <w:tc>
          <w:tcPr>
            <w:tcW w:type="dxa" w:w="960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11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300"/>
            <w:tcBorders>
              <w:top w:val="nil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облачење</w:t>
            </w:r>
          </w:p>
        </w:tc>
        <w:tc>
          <w:tcPr>
            <w:tcW w:type="dxa" w:w="1135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78</w:t>
            </w:r>
          </w:p>
        </w:tc>
        <w:tc>
          <w:tcPr>
            <w:tcW w:type="dxa" w:w="959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0.9</w:t>
            </w:r>
          </w:p>
        </w:tc>
        <w:tc>
          <w:tcPr>
            <w:tcW w:type="dxa" w:w="960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14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300"/>
            <w:tcBorders>
              <w:top w:val="nil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купање</w:t>
            </w:r>
          </w:p>
        </w:tc>
        <w:tc>
          <w:tcPr>
            <w:tcW w:type="dxa" w:w="1135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71</w:t>
            </w:r>
          </w:p>
        </w:tc>
        <w:tc>
          <w:tcPr>
            <w:tcW w:type="dxa" w:w="959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960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300"/>
            <w:tcBorders>
              <w:top w:val="nil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одвођење у школу/обданиште</w:t>
            </w:r>
          </w:p>
        </w:tc>
        <w:tc>
          <w:tcPr>
            <w:tcW w:type="dxa" w:w="1135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34</w:t>
            </w:r>
          </w:p>
        </w:tc>
        <w:tc>
          <w:tcPr>
            <w:tcW w:type="dxa" w:w="959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8</w:t>
            </w:r>
          </w:p>
        </w:tc>
        <w:tc>
          <w:tcPr>
            <w:tcW w:type="dxa" w:w="960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28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300"/>
            <w:tcBorders>
              <w:top w:val="nil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помоћ у изради школских задатака</w:t>
            </w:r>
          </w:p>
        </w:tc>
        <w:tc>
          <w:tcPr>
            <w:tcW w:type="dxa" w:w="1135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40</w:t>
            </w:r>
          </w:p>
        </w:tc>
        <w:tc>
          <w:tcPr>
            <w:tcW w:type="dxa" w:w="959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  <w:tc>
          <w:tcPr>
            <w:tcW w:type="dxa" w:w="960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32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300"/>
            <w:tcBorders>
              <w:top w:val="nil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рекреација и забава</w:t>
            </w:r>
          </w:p>
        </w:tc>
        <w:tc>
          <w:tcPr>
            <w:tcW w:type="dxa" w:w="1135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35</w:t>
            </w:r>
          </w:p>
        </w:tc>
        <w:tc>
          <w:tcPr>
            <w:tcW w:type="dxa" w:w="959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16</w:t>
            </w:r>
          </w:p>
        </w:tc>
        <w:tc>
          <w:tcPr>
            <w:tcW w:type="dxa" w:w="960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32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300"/>
            <w:tcBorders>
              <w:top w:val="nil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игра са децом</w:t>
            </w:r>
          </w:p>
        </w:tc>
        <w:tc>
          <w:tcPr>
            <w:tcW w:type="dxa" w:w="1135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31</w:t>
            </w:r>
          </w:p>
        </w:tc>
        <w:tc>
          <w:tcPr>
            <w:tcW w:type="dxa" w:w="959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  <w:tc>
          <w:tcPr>
            <w:tcW w:type="dxa" w:w="960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49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300"/>
            <w:tcBorders>
              <w:top w:val="nil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нега детета у случају болести</w:t>
            </w:r>
          </w:p>
        </w:tc>
        <w:tc>
          <w:tcPr>
            <w:tcW w:type="dxa" w:w="1135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53</w:t>
            </w:r>
          </w:p>
        </w:tc>
        <w:tc>
          <w:tcPr>
            <w:tcW w:type="dxa" w:w="959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0.4</w:t>
            </w:r>
          </w:p>
        </w:tc>
        <w:tc>
          <w:tcPr>
            <w:tcW w:type="dxa" w:w="960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42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300"/>
            <w:tcBorders>
              <w:top w:val="nil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вођење код лекара</w:t>
            </w:r>
          </w:p>
        </w:tc>
        <w:tc>
          <w:tcPr>
            <w:tcW w:type="dxa" w:w="1135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38</w:t>
            </w:r>
          </w:p>
        </w:tc>
        <w:tc>
          <w:tcPr>
            <w:tcW w:type="dxa" w:w="959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type="dxa" w:w="960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55</w:t>
            </w:r>
          </w:p>
        </w:tc>
      </w:tr>
      <w:tr>
        <w:trPr>
          <w:trHeight w:hRule="atLeast" w:val="255"/>
          <w:cantSplit w:val="false"/>
        </w:trPr>
        <w:tc>
          <w:tcPr>
            <w:tcW w:type="dxa" w:w="3300"/>
            <w:tcBorders>
              <w:top w:val="nil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it-IT"/>
              </w:rPr>
              <w:t>разговор са дететом о проблемима</w:t>
            </w:r>
          </w:p>
        </w:tc>
        <w:tc>
          <w:tcPr>
            <w:tcW w:type="dxa" w:w="1135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38</w:t>
            </w:r>
          </w:p>
        </w:tc>
        <w:tc>
          <w:tcPr>
            <w:tcW w:type="dxa" w:w="959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960"/>
            <w:tcBorders>
              <w:top w:val="nil"/>
              <w:left w:val="nil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56</w:t>
            </w:r>
          </w:p>
        </w:tc>
      </w:tr>
    </w:tbl>
    <w:p>
      <w:pPr>
        <w:pStyle w:val="style0"/>
        <w:spacing w:line="360" w:lineRule="auto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Извор: M.Благојевић (1997), Родитељство и фертилитет</w:t>
      </w:r>
    </w:p>
    <w:p>
      <w:pPr>
        <w:pStyle w:val="style0"/>
        <w:tabs>
          <w:tab w:leader="none" w:pos="1515" w:val="left"/>
        </w:tabs>
        <w:rPr>
          <w:lang w:val="en-US"/>
        </w:rPr>
      </w:pPr>
      <w:r>
        <w:rPr>
          <w:lang w:val="en-US"/>
        </w:rPr>
        <w:tab/>
      </w:r>
    </w:p>
    <w:p>
      <w:pPr>
        <w:pStyle w:val="style0"/>
        <w:jc w:val="both"/>
        <w:rPr>
          <w:lang w:val="en-US"/>
        </w:rPr>
      </w:pPr>
      <w:r>
        <w:rPr>
          <w:lang w:val="en-US"/>
        </w:rPr>
      </w:r>
    </w:p>
    <w:p>
      <w:pPr>
        <w:pStyle w:val="style0"/>
        <w:jc w:val="both"/>
        <w:rPr>
          <w:lang w:val="en-US"/>
        </w:rPr>
      </w:pPr>
      <w:r>
        <w:rPr>
          <w:lang w:val="en-US"/>
        </w:rPr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Прилог 2: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Прича 1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Азим има 7 год. Његови вршњаци су кренули у школу, он није. Плакао је када му је чика Марко ( кординатор једног центра за интеграцију Рома)рекао да нису успели да га упишу јер га родитељи нису уписали у књигу рођених. Азим га не разуме, не зна зашто не може у школу, тамо је зими топло и има пуно деце за игру. Зна да ће га родитељи и даље терати да иде на улицу и пружа руке ка људима у нади да ће добити неки динар, ка људима који га најчешће гурају и говоре му ружне речи.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Неједнакост која се испољава: економска, образовна, у запошљавању, етничка, глобална, формална (законски прописи)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Прича 2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Јелена има 16 год. Њени родитељи пуно раде, мама у пекари а тата понекад на грађевини, кад има посла.Уписала је средњу хемијску школу која баш и није била међу њеним првим изборима, тако је распоређена. Када је уписивала жеље, родитељи нису умели да је посаветују, а и нису имали баш времена да са њом разматрају, пуно времена проводе на послу, а некако ипак мало зарађују. Хемија, математика и физика јој никако не иду, ама баш ништа не разуме иако се веома труди. Замолила је родитеље да јој плате неки приватни час, но добила је само жестоке грдње и критике, одакле им новац да плаћају њену лењост, како је није срамота да не учи, да се не труди, да је незахвална јер се они толико труде да зараде новац, а њено је само да учи, а она ни то не може!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Неједнакост која се испољава: Економска, класна, образовна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Прича 3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Ана има 26 год. Завршила је економски факултет, волонтирала је у бројним институцијама, у потрази је за послом. Баш данас је била на још једном разговору где су јој постављали питања везана за њен приватни живот, компетенције их баш и нису занимале, има их као и многи други кандитати, важније је било да ли је удата, има ли или да ли и кад планира децу? Ана зна да закон забрањује послодавцима оваква питања, али они их постављају, коме да се жали?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Полно/родна неједнакост</w:t>
      </w:r>
    </w:p>
    <w:p>
      <w:pPr>
        <w:pStyle w:val="style0"/>
        <w:tabs>
          <w:tab w:leader="none" w:pos="8805" w:val="left"/>
        </w:tabs>
        <w:rPr>
          <w:lang w:val="en-US"/>
        </w:rPr>
      </w:pPr>
      <w:r>
        <w:rPr>
          <w:lang w:val="en-US"/>
        </w:rPr>
        <w:tab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</w:pPr>
    <w:rPr>
      <w:rFonts w:ascii="Calibri" w:cs="Calibri" w:eastAsia="Lucida Sans Unicode" w:hAnsi="Calibri"/>
      <w:color w:val="00000A"/>
      <w:sz w:val="22"/>
      <w:szCs w:val="22"/>
      <w:lang w:bidi="ar-SA" w:eastAsia="en-US" w:val="en-US"/>
    </w:rPr>
  </w:style>
  <w:style w:styleId="style1" w:type="paragraph">
    <w:name w:val="Heading 1"/>
    <w:basedOn w:val="style0"/>
    <w:next w:val="style1"/>
    <w:pPr>
      <w:keepNext/>
      <w:keepLines/>
      <w:spacing w:after="0" w:before="240"/>
      <w:contextualSpacing w:val="false"/>
    </w:pPr>
    <w:rPr>
      <w:rFonts w:ascii="Calibri Light" w:cs="" w:hAnsi="Calibri Light"/>
      <w:color w:val="2E74B5"/>
      <w:sz w:val="32"/>
      <w:szCs w:val="3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libri Light" w:cs="" w:hAnsi="Calibri Light"/>
      <w:color w:val="2E74B5"/>
      <w:sz w:val="32"/>
      <w:szCs w:val="32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character">
    <w:name w:val="ListLabel 3"/>
    <w:next w:val="style19"/>
    <w:rPr>
      <w:rFonts w:cs="Calibri"/>
    </w:rPr>
  </w:style>
  <w:style w:styleId="style20" w:type="character">
    <w:name w:val="Bullets"/>
    <w:next w:val="style20"/>
    <w:rPr>
      <w:rFonts w:ascii="OpenSymbol" w:cs="OpenSymbol" w:eastAsia="OpenSymbol" w:hAnsi="OpenSymbol"/>
    </w:rPr>
  </w:style>
  <w:style w:styleId="style21" w:type="character">
    <w:name w:val="ListLabel 4"/>
    <w:next w:val="style21"/>
    <w:rPr>
      <w:rFonts w:cs="Times New Roman"/>
    </w:rPr>
  </w:style>
  <w:style w:styleId="style22" w:type="character">
    <w:name w:val="ListLabel 5"/>
    <w:next w:val="style22"/>
    <w:rPr>
      <w:rFonts w:cs="Courier New"/>
    </w:rPr>
  </w:style>
  <w:style w:styleId="style23" w:type="character">
    <w:name w:val="ListLabel 6"/>
    <w:next w:val="style23"/>
    <w:rPr>
      <w:rFonts w:cs="Wingdings"/>
    </w:rPr>
  </w:style>
  <w:style w:styleId="style24" w:type="character">
    <w:name w:val="ListLabel 7"/>
    <w:next w:val="style24"/>
    <w:rPr>
      <w:rFonts w:cs="Symbol"/>
    </w:rPr>
  </w:style>
  <w:style w:styleId="style25" w:type="paragraph">
    <w:name w:val="Heading"/>
    <w:basedOn w:val="style0"/>
    <w:next w:val="style26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6" w:type="paragraph">
    <w:name w:val="Text Body"/>
    <w:basedOn w:val="style0"/>
    <w:next w:val="style26"/>
    <w:pPr>
      <w:spacing w:after="120" w:before="0"/>
      <w:contextualSpacing w:val="false"/>
    </w:pPr>
    <w:rPr/>
  </w:style>
  <w:style w:styleId="style27" w:type="paragraph">
    <w:name w:val="List"/>
    <w:basedOn w:val="style26"/>
    <w:next w:val="style27"/>
    <w:pPr/>
    <w:rPr>
      <w:rFonts w:cs="Mangal"/>
    </w:rPr>
  </w:style>
  <w:style w:styleId="style28" w:type="paragraph">
    <w:name w:val="Caption"/>
    <w:basedOn w:val="style0"/>
    <w:next w:val="style28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9" w:type="paragraph">
    <w:name w:val="Index"/>
    <w:basedOn w:val="style0"/>
    <w:next w:val="style29"/>
    <w:pPr>
      <w:suppressLineNumbers/>
    </w:pPr>
    <w:rPr>
      <w:rFonts w:cs="Mangal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2016-09-18T16:18:00Z</dcterms:created>
  <dc:creator>Vera Scekic</dc:creator>
  <cp:lastModifiedBy>Sladja</cp:lastModifiedBy>
  <dcterms:modified xsi:type="dcterms:W3CDTF">2016-09-19T08:28:00Z</dcterms:modified>
  <cp:revision>12</cp:revision>
</cp:coreProperties>
</file>